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17" w:rsidRDefault="0014206C">
      <w:pPr>
        <w:jc w:val="center"/>
        <w:rPr>
          <w:b/>
          <w:color w:val="000000"/>
        </w:rPr>
      </w:pPr>
      <w:r>
        <w:rPr>
          <w:b/>
          <w:color w:val="000000"/>
        </w:rPr>
        <w:t>ПОЯСНИТЕЛЬНАЯ ЗАПИСКА</w:t>
      </w:r>
    </w:p>
    <w:p w:rsidR="00663817" w:rsidRDefault="0014206C">
      <w:pPr>
        <w:spacing w:line="283" w:lineRule="atLeast"/>
        <w:jc w:val="center"/>
        <w:rPr>
          <w:b/>
          <w:color w:val="000000"/>
        </w:rPr>
      </w:pPr>
      <w:r>
        <w:rPr>
          <w:b/>
          <w:color w:val="000000"/>
        </w:rPr>
        <w:t>к проекту закона Новосибирской области «</w:t>
      </w:r>
      <w:r w:rsidR="00F6485D" w:rsidRPr="00F6485D">
        <w:rPr>
          <w:b/>
        </w:rPr>
        <w:t>О признании утратившей силу статьи 1.2 Закона Новосибирской области «Об обеспечении условий проведения публичных мероприятий на территории Новосибирской области»</w:t>
      </w:r>
    </w:p>
    <w:p w:rsidR="00663817" w:rsidRDefault="00663817">
      <w:pPr>
        <w:spacing w:line="283" w:lineRule="atLeast"/>
        <w:jc w:val="center"/>
        <w:rPr>
          <w:color w:val="000000"/>
        </w:rPr>
      </w:pPr>
    </w:p>
    <w:p w:rsidR="00663817" w:rsidRDefault="0014206C">
      <w:pPr>
        <w:spacing w:line="283" w:lineRule="atLeast"/>
        <w:ind w:firstLine="709"/>
        <w:jc w:val="both"/>
        <w:rPr>
          <w:rFonts w:eastAsia="Calibri"/>
          <w:lang w:eastAsia="en-US"/>
        </w:rPr>
      </w:pPr>
      <w:proofErr w:type="gramStart"/>
      <w:r>
        <w:rPr>
          <w:rFonts w:eastAsia="Calibri"/>
          <w:lang w:eastAsia="en-US"/>
        </w:rPr>
        <w:t>Проект закона Новосибирской области «</w:t>
      </w:r>
      <w:r w:rsidR="00F6485D" w:rsidRPr="00F6485D">
        <w:rPr>
          <w:rFonts w:eastAsia="Calibri"/>
          <w:lang w:eastAsia="en-US"/>
        </w:rPr>
        <w:t>О признании утратившей силу статьи 1.2 Закона Новосибирской области «Об обеспечении условий проведения публичных мероприятий на территории Новосибирской области»</w:t>
      </w:r>
      <w:r>
        <w:rPr>
          <w:rFonts w:eastAsia="Calibri"/>
          <w:lang w:eastAsia="en-US"/>
        </w:rPr>
        <w:t xml:space="preserve"> (далее – проект закона) разработан в целях приведения законодательства Новосибирской области в соответствие с</w:t>
      </w:r>
      <w:r>
        <w:t xml:space="preserve"> </w:t>
      </w:r>
      <w:r>
        <w:rPr>
          <w:rFonts w:eastAsia="Calibri"/>
          <w:lang w:eastAsia="en-US"/>
        </w:rPr>
        <w:t>Федеральным законом от 19.06.2004 №</w:t>
      </w:r>
      <w:r w:rsidR="00F6485D">
        <w:rPr>
          <w:rFonts w:eastAsia="Calibri"/>
          <w:lang w:eastAsia="en-US"/>
        </w:rPr>
        <w:t xml:space="preserve"> </w:t>
      </w:r>
      <w:r>
        <w:rPr>
          <w:rFonts w:eastAsia="Calibri"/>
          <w:lang w:eastAsia="en-US"/>
        </w:rPr>
        <w:t>54-ФЗ «О собра</w:t>
      </w:r>
      <w:r>
        <w:rPr>
          <w:rFonts w:eastAsia="Calibri"/>
          <w:lang w:eastAsia="en-US"/>
        </w:rPr>
        <w:t xml:space="preserve">ниях, митингах, демонстрациях, шествиях и пикетированиях» (в редакции </w:t>
      </w:r>
      <w:r>
        <w:t>Федерального закона от 05.12.2022 №</w:t>
      </w:r>
      <w:r w:rsidR="00F6485D">
        <w:t xml:space="preserve"> </w:t>
      </w:r>
      <w:r>
        <w:t>498-ФЗ «О внесении изменений в отдельные</w:t>
      </w:r>
      <w:proofErr w:type="gramEnd"/>
      <w:r>
        <w:t xml:space="preserve"> законодательные акты Российской Федерации»</w:t>
      </w:r>
      <w:r>
        <w:rPr>
          <w:rFonts w:eastAsia="Calibri"/>
          <w:lang w:eastAsia="en-US"/>
        </w:rPr>
        <w:t>)</w:t>
      </w:r>
      <w:r>
        <w:rPr>
          <w:rFonts w:eastAsia="Calibri"/>
          <w:lang w:eastAsia="en-US"/>
        </w:rPr>
        <w:t>.</w:t>
      </w:r>
    </w:p>
    <w:p w:rsidR="00F6485D" w:rsidRPr="00F6485D" w:rsidRDefault="0014206C" w:rsidP="00F6485D">
      <w:pPr>
        <w:ind w:firstLine="709"/>
        <w:jc w:val="both"/>
        <w:outlineLvl w:val="0"/>
        <w:rPr>
          <w:rFonts w:eastAsia="Arial"/>
          <w:lang w:eastAsia="en-US"/>
        </w:rPr>
      </w:pPr>
      <w:r>
        <w:rPr>
          <w:rFonts w:eastAsia="Calibri"/>
          <w:lang w:eastAsia="en-US"/>
        </w:rPr>
        <w:t xml:space="preserve">Проект закона состоит из 2 статей. Статьей 1 </w:t>
      </w:r>
      <w:r w:rsidR="00F6485D">
        <w:rPr>
          <w:rFonts w:eastAsia="Calibri"/>
          <w:lang w:eastAsia="en-US"/>
        </w:rPr>
        <w:t xml:space="preserve">признается утратившей силу статья 1.2 </w:t>
      </w:r>
      <w:r w:rsidR="00F6485D" w:rsidRPr="00F6485D">
        <w:rPr>
          <w:rFonts w:eastAsia="Calibri"/>
          <w:lang w:eastAsia="en-US"/>
        </w:rPr>
        <w:t>Закона Новосибирской области «Об обеспечении условий проведения публичных мероприятий на территории Новосибирской области»</w:t>
      </w:r>
      <w:r w:rsidR="00F6485D">
        <w:rPr>
          <w:rFonts w:eastAsia="Calibri"/>
          <w:lang w:eastAsia="en-US"/>
        </w:rPr>
        <w:t xml:space="preserve">, </w:t>
      </w:r>
      <w:r>
        <w:rPr>
          <w:rFonts w:eastAsia="Calibri"/>
          <w:lang w:eastAsia="en-US"/>
        </w:rPr>
        <w:t>определя</w:t>
      </w:r>
      <w:r w:rsidR="00F6485D">
        <w:rPr>
          <w:rFonts w:eastAsia="Calibri"/>
          <w:lang w:eastAsia="en-US"/>
        </w:rPr>
        <w:t xml:space="preserve">вшая </w:t>
      </w:r>
      <w:r>
        <w:rPr>
          <w:rFonts w:eastAsia="Calibri"/>
          <w:lang w:eastAsia="en-US"/>
        </w:rPr>
        <w:t>мест</w:t>
      </w:r>
      <w:r w:rsidR="00F6485D">
        <w:rPr>
          <w:rFonts w:eastAsia="Calibri"/>
          <w:lang w:eastAsia="en-US"/>
        </w:rPr>
        <w:t>а</w:t>
      </w:r>
      <w:r>
        <w:rPr>
          <w:rFonts w:eastAsia="Calibri"/>
          <w:lang w:eastAsia="en-US"/>
        </w:rPr>
        <w:t>, в которых запреща</w:t>
      </w:r>
      <w:r w:rsidR="00F6485D">
        <w:rPr>
          <w:rFonts w:eastAsia="Calibri"/>
          <w:lang w:eastAsia="en-US"/>
        </w:rPr>
        <w:t>лось</w:t>
      </w:r>
      <w:r>
        <w:rPr>
          <w:rFonts w:eastAsia="Calibri"/>
          <w:lang w:eastAsia="en-US"/>
        </w:rPr>
        <w:t xml:space="preserve"> провед</w:t>
      </w:r>
      <w:r>
        <w:rPr>
          <w:rFonts w:eastAsia="Calibri"/>
          <w:lang w:eastAsia="en-US"/>
        </w:rPr>
        <w:t xml:space="preserve">ение </w:t>
      </w:r>
      <w:r w:rsidR="00F6485D" w:rsidRPr="00F6485D">
        <w:rPr>
          <w:rFonts w:eastAsia="Arial"/>
          <w:lang w:eastAsia="en-US"/>
        </w:rPr>
        <w:t>публичн</w:t>
      </w:r>
      <w:r w:rsidR="00F6485D">
        <w:rPr>
          <w:rFonts w:eastAsia="Arial"/>
          <w:lang w:eastAsia="en-US"/>
        </w:rPr>
        <w:t>ых</w:t>
      </w:r>
      <w:r w:rsidR="00F6485D" w:rsidRPr="00F6485D">
        <w:rPr>
          <w:rFonts w:eastAsia="Arial"/>
          <w:lang w:eastAsia="en-US"/>
        </w:rPr>
        <w:t xml:space="preserve"> мероприяти</w:t>
      </w:r>
      <w:r w:rsidR="00F6485D">
        <w:rPr>
          <w:rFonts w:eastAsia="Arial"/>
          <w:lang w:eastAsia="en-US"/>
        </w:rPr>
        <w:t xml:space="preserve">й (в дополнение к местам, установленным федеральным законодательством). Вместе с тем, с принятием </w:t>
      </w:r>
      <w:r w:rsidR="00F6485D" w:rsidRPr="00F6485D">
        <w:rPr>
          <w:rFonts w:eastAsia="Arial"/>
          <w:lang w:eastAsia="en-US"/>
        </w:rPr>
        <w:t>Федеральн</w:t>
      </w:r>
      <w:r w:rsidR="00F6485D">
        <w:rPr>
          <w:rFonts w:eastAsia="Arial"/>
          <w:lang w:eastAsia="en-US"/>
        </w:rPr>
        <w:t>ого</w:t>
      </w:r>
      <w:r w:rsidR="00F6485D" w:rsidRPr="00F6485D">
        <w:rPr>
          <w:rFonts w:eastAsia="Arial"/>
          <w:lang w:eastAsia="en-US"/>
        </w:rPr>
        <w:t xml:space="preserve"> закон</w:t>
      </w:r>
      <w:r w:rsidR="00F6485D">
        <w:rPr>
          <w:rFonts w:eastAsia="Arial"/>
          <w:lang w:eastAsia="en-US"/>
        </w:rPr>
        <w:t>а</w:t>
      </w:r>
      <w:r w:rsidR="00F6485D" w:rsidRPr="00F6485D">
        <w:rPr>
          <w:rFonts w:eastAsia="Arial"/>
          <w:lang w:eastAsia="en-US"/>
        </w:rPr>
        <w:t xml:space="preserve"> от 05.12.2022 </w:t>
      </w:r>
      <w:r w:rsidR="00F6485D">
        <w:rPr>
          <w:rFonts w:eastAsia="Arial"/>
          <w:lang w:eastAsia="en-US"/>
        </w:rPr>
        <w:t>№</w:t>
      </w:r>
      <w:r w:rsidR="00F6485D" w:rsidRPr="00F6485D">
        <w:rPr>
          <w:rFonts w:eastAsia="Arial"/>
          <w:lang w:eastAsia="en-US"/>
        </w:rPr>
        <w:t xml:space="preserve"> 498-ФЗ</w:t>
      </w:r>
      <w:r w:rsidR="00F6485D">
        <w:rPr>
          <w:rFonts w:eastAsia="Arial"/>
          <w:lang w:eastAsia="en-US"/>
        </w:rPr>
        <w:t xml:space="preserve"> перечень мест, в </w:t>
      </w:r>
      <w:r w:rsidR="00F6485D" w:rsidRPr="00F6485D">
        <w:rPr>
          <w:rFonts w:eastAsia="Arial"/>
          <w:lang w:eastAsia="en-US"/>
        </w:rPr>
        <w:t>которых запрещается проведение собраний, митингов, шествий</w:t>
      </w:r>
      <w:r w:rsidR="00F6485D">
        <w:rPr>
          <w:rFonts w:eastAsia="Arial"/>
          <w:lang w:eastAsia="en-US"/>
        </w:rPr>
        <w:t xml:space="preserve"> и</w:t>
      </w:r>
      <w:r w:rsidR="00F6485D" w:rsidRPr="00F6485D">
        <w:rPr>
          <w:rFonts w:eastAsia="Arial"/>
          <w:lang w:eastAsia="en-US"/>
        </w:rPr>
        <w:t xml:space="preserve"> демонстраций</w:t>
      </w:r>
      <w:r w:rsidR="00F6485D">
        <w:rPr>
          <w:rFonts w:eastAsia="Arial"/>
          <w:lang w:eastAsia="en-US"/>
        </w:rPr>
        <w:t>, расширился</w:t>
      </w:r>
      <w:r w:rsidR="00FD05BF">
        <w:rPr>
          <w:rFonts w:eastAsia="Arial"/>
          <w:lang w:eastAsia="en-US"/>
        </w:rPr>
        <w:t>, включив в себя</w:t>
      </w:r>
      <w:r w:rsidR="00F6485D" w:rsidRPr="00F6485D">
        <w:rPr>
          <w:rFonts w:eastAsia="Arial"/>
          <w:lang w:eastAsia="en-US"/>
        </w:rPr>
        <w:t>:</w:t>
      </w:r>
    </w:p>
    <w:p w:rsidR="00F6485D" w:rsidRPr="00F6485D" w:rsidRDefault="00F6485D" w:rsidP="00F6485D">
      <w:pPr>
        <w:ind w:firstLine="709"/>
        <w:jc w:val="both"/>
        <w:outlineLvl w:val="0"/>
        <w:rPr>
          <w:rFonts w:eastAsia="Arial"/>
          <w:lang w:eastAsia="en-US"/>
        </w:rPr>
      </w:pPr>
      <w:r w:rsidRPr="00F6485D">
        <w:rPr>
          <w:rFonts w:eastAsia="Arial"/>
          <w:lang w:eastAsia="en-US"/>
        </w:rPr>
        <w:t>1) здания и территории речных, морских, железнодорожных и автомобильных вокзалов и станций, аэропортов, морских, речных портов, пристаней;</w:t>
      </w:r>
    </w:p>
    <w:p w:rsidR="00F6485D" w:rsidRPr="00F6485D" w:rsidRDefault="00F6485D" w:rsidP="00F6485D">
      <w:pPr>
        <w:ind w:firstLine="709"/>
        <w:jc w:val="both"/>
        <w:outlineLvl w:val="0"/>
        <w:rPr>
          <w:rFonts w:eastAsia="Arial"/>
          <w:lang w:eastAsia="en-US"/>
        </w:rPr>
      </w:pPr>
      <w:r w:rsidRPr="00F6485D">
        <w:rPr>
          <w:rFonts w:eastAsia="Arial"/>
          <w:lang w:eastAsia="en-US"/>
        </w:rPr>
        <w:t>2) здания и территории образовательных организаций, медицинских организаций, организаций социальной защиты населения, детские и спортивные площадки;</w:t>
      </w:r>
    </w:p>
    <w:p w:rsidR="00F6485D" w:rsidRPr="00F6485D" w:rsidRDefault="00F6485D" w:rsidP="00F6485D">
      <w:pPr>
        <w:ind w:firstLine="709"/>
        <w:jc w:val="both"/>
        <w:outlineLvl w:val="0"/>
        <w:rPr>
          <w:rFonts w:eastAsia="Arial"/>
          <w:lang w:eastAsia="en-US"/>
        </w:rPr>
      </w:pPr>
      <w:r w:rsidRPr="00F6485D">
        <w:rPr>
          <w:rFonts w:eastAsia="Arial"/>
          <w:lang w:eastAsia="en-US"/>
        </w:rPr>
        <w:t>3) здания органов публичной власти, а также территории, непосредственно прилегающие к таким зданиям, объектам жизнеобеспечения, в том числе обеспечивающим функционирование электрических, тепловых, водопроводных сетей, сетей водоснабжения и (или) водоотведения, сетей газоснабжения;</w:t>
      </w:r>
    </w:p>
    <w:p w:rsidR="00F6485D" w:rsidRDefault="00F6485D" w:rsidP="00F6485D">
      <w:pPr>
        <w:ind w:firstLine="709"/>
        <w:jc w:val="both"/>
        <w:outlineLvl w:val="0"/>
        <w:rPr>
          <w:rFonts w:eastAsia="Arial"/>
          <w:lang w:eastAsia="en-US"/>
        </w:rPr>
      </w:pPr>
      <w:proofErr w:type="gramStart"/>
      <w:r w:rsidRPr="00F6485D">
        <w:rPr>
          <w:rFonts w:eastAsia="Arial"/>
          <w:lang w:eastAsia="en-US"/>
        </w:rPr>
        <w:t>4) культовые помещения, здания и сооружения, а также земельные участки, на которых расположены такие здания и сооружения, в том числе принадлежащие религиозным организациям на праве собственности или предоставленные им на ином имущественном праве для осуществления их уставной деятельности, места паломничества, за исключением общественных мест, на которых проводятся публичные богослужения, другие религиозные обряды и церемонии</w:t>
      </w:r>
      <w:r w:rsidR="00FD05BF">
        <w:rPr>
          <w:rFonts w:eastAsia="Arial"/>
          <w:lang w:eastAsia="en-US"/>
        </w:rPr>
        <w:t>.</w:t>
      </w:r>
      <w:r>
        <w:rPr>
          <w:rFonts w:eastAsia="Arial"/>
          <w:lang w:eastAsia="en-US"/>
        </w:rPr>
        <w:t xml:space="preserve"> </w:t>
      </w:r>
      <w:proofErr w:type="gramEnd"/>
    </w:p>
    <w:p w:rsidR="00F6485D" w:rsidRDefault="00FD05BF">
      <w:pPr>
        <w:spacing w:line="283" w:lineRule="atLeast"/>
        <w:ind w:firstLine="709"/>
        <w:jc w:val="both"/>
        <w:rPr>
          <w:rFonts w:eastAsia="Arial"/>
          <w:lang w:eastAsia="en-US"/>
        </w:rPr>
      </w:pPr>
      <w:r>
        <w:rPr>
          <w:rFonts w:eastAsia="Arial"/>
          <w:lang w:eastAsia="en-US"/>
        </w:rPr>
        <w:t>Таким образом, установленный федеральным законодательством перечень мест</w:t>
      </w:r>
      <w:r w:rsidRPr="00FD05BF">
        <w:rPr>
          <w:rFonts w:eastAsia="Arial"/>
          <w:lang w:eastAsia="en-US"/>
        </w:rPr>
        <w:t>, в которых запрещается проведение</w:t>
      </w:r>
      <w:r>
        <w:rPr>
          <w:rFonts w:eastAsia="Arial"/>
          <w:lang w:eastAsia="en-US"/>
        </w:rPr>
        <w:t xml:space="preserve"> публичных мероприятий, является достаточным для обеспечения </w:t>
      </w:r>
      <w:r w:rsidRPr="00FD05BF">
        <w:rPr>
          <w:rFonts w:eastAsia="Arial"/>
          <w:lang w:eastAsia="en-US"/>
        </w:rPr>
        <w:t>законности, правопорядка</w:t>
      </w:r>
      <w:r>
        <w:rPr>
          <w:rFonts w:eastAsia="Arial"/>
          <w:lang w:eastAsia="en-US"/>
        </w:rPr>
        <w:t xml:space="preserve"> и</w:t>
      </w:r>
      <w:r w:rsidRPr="00FD05BF">
        <w:rPr>
          <w:rFonts w:eastAsia="Arial"/>
          <w:lang w:eastAsia="en-US"/>
        </w:rPr>
        <w:t xml:space="preserve"> общественной безопасности</w:t>
      </w:r>
      <w:r>
        <w:rPr>
          <w:rFonts w:eastAsia="Arial"/>
          <w:lang w:eastAsia="en-US"/>
        </w:rPr>
        <w:t xml:space="preserve">, а также </w:t>
      </w:r>
      <w:r w:rsidRPr="00FD05BF">
        <w:rPr>
          <w:rFonts w:eastAsia="Arial"/>
          <w:lang w:eastAsia="en-US"/>
        </w:rPr>
        <w:t>защиты прав и свобод человека и гражданина</w:t>
      </w:r>
      <w:r>
        <w:rPr>
          <w:rFonts w:eastAsia="Arial"/>
          <w:lang w:eastAsia="en-US"/>
        </w:rPr>
        <w:t>.</w:t>
      </w:r>
    </w:p>
    <w:p w:rsidR="00FD05BF" w:rsidRDefault="00FD05BF">
      <w:pPr>
        <w:spacing w:line="283" w:lineRule="atLeast"/>
        <w:ind w:firstLine="709"/>
        <w:jc w:val="both"/>
        <w:rPr>
          <w:rFonts w:eastAsia="Arial"/>
          <w:lang w:eastAsia="en-US"/>
        </w:rPr>
      </w:pPr>
      <w:r>
        <w:rPr>
          <w:rFonts w:eastAsia="Arial"/>
          <w:lang w:eastAsia="en-US"/>
        </w:rPr>
        <w:t xml:space="preserve">Статьей 2 </w:t>
      </w:r>
      <w:r w:rsidR="00150BCD">
        <w:rPr>
          <w:rFonts w:eastAsia="Arial"/>
          <w:lang w:eastAsia="en-US"/>
        </w:rPr>
        <w:t>определяется порядок вступления закона в силу.</w:t>
      </w:r>
    </w:p>
    <w:p w:rsidR="00663817" w:rsidRDefault="0014206C" w:rsidP="00150BCD">
      <w:pPr>
        <w:spacing w:line="283" w:lineRule="atLeast"/>
        <w:ind w:firstLine="709"/>
        <w:jc w:val="both"/>
        <w:rPr>
          <w:color w:val="000000"/>
        </w:rPr>
      </w:pPr>
      <w:r>
        <w:rPr>
          <w:rFonts w:eastAsia="Arial"/>
          <w:lang w:eastAsia="en-US"/>
        </w:rPr>
        <w:t>Проект закона не подлежит о</w:t>
      </w:r>
      <w:r w:rsidR="00150BCD">
        <w:rPr>
          <w:rFonts w:eastAsia="Arial"/>
          <w:lang w:eastAsia="en-US"/>
        </w:rPr>
        <w:t>ценке регулирующего воздействия.</w:t>
      </w:r>
      <w:bookmarkStart w:id="0" w:name="_GoBack"/>
      <w:bookmarkEnd w:id="0"/>
    </w:p>
    <w:sectPr w:rsidR="00663817" w:rsidSect="00F6485D">
      <w:headerReference w:type="default" r:id="rId8"/>
      <w:pgSz w:w="11906" w:h="16838"/>
      <w:pgMar w:top="1134" w:right="567" w:bottom="1134" w:left="1418"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06C" w:rsidRDefault="0014206C">
      <w:r>
        <w:separator/>
      </w:r>
    </w:p>
  </w:endnote>
  <w:endnote w:type="continuationSeparator" w:id="0">
    <w:p w:rsidR="0014206C" w:rsidRDefault="0014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06C" w:rsidRDefault="0014206C">
      <w:r>
        <w:separator/>
      </w:r>
    </w:p>
  </w:footnote>
  <w:footnote w:type="continuationSeparator" w:id="0">
    <w:p w:rsidR="0014206C" w:rsidRDefault="00142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817" w:rsidRDefault="0014206C">
    <w:pPr>
      <w:pStyle w:val="afe"/>
      <w:jc w:val="center"/>
      <w:rPr>
        <w:sz w:val="20"/>
        <w:szCs w:val="20"/>
      </w:rPr>
    </w:pPr>
    <w:r>
      <w:rPr>
        <w:sz w:val="20"/>
        <w:szCs w:val="20"/>
      </w:rPr>
      <w:fldChar w:fldCharType="begin"/>
    </w:r>
    <w:r>
      <w:rPr>
        <w:sz w:val="20"/>
        <w:szCs w:val="20"/>
      </w:rPr>
      <w:instrText>PAGE   \* MERGEFORMAT</w:instrText>
    </w:r>
    <w:r>
      <w:rPr>
        <w:sz w:val="20"/>
        <w:szCs w:val="20"/>
      </w:rPr>
      <w:fldChar w:fldCharType="separate"/>
    </w:r>
    <w:r w:rsidR="00150BCD">
      <w:rPr>
        <w:noProof/>
        <w:sz w:val="20"/>
        <w:szCs w:val="20"/>
      </w:rPr>
      <w:t>2</w:t>
    </w:r>
    <w:r>
      <w:rPr>
        <w:sz w:val="20"/>
        <w:szCs w:val="20"/>
      </w:rPr>
      <w:fldChar w:fldCharType="end"/>
    </w:r>
  </w:p>
  <w:p w:rsidR="00663817" w:rsidRDefault="00663817">
    <w:pPr>
      <w:pStyle w:val="afe"/>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66F8"/>
    <w:multiLevelType w:val="hybridMultilevel"/>
    <w:tmpl w:val="2A069DDC"/>
    <w:lvl w:ilvl="0" w:tplc="AD1EDF08">
      <w:start w:val="1"/>
      <w:numFmt w:val="decimal"/>
      <w:lvlText w:val="%1."/>
      <w:lvlJc w:val="left"/>
      <w:pPr>
        <w:ind w:left="720" w:hanging="360"/>
      </w:pPr>
      <w:rPr>
        <w:rFonts w:hint="default"/>
      </w:rPr>
    </w:lvl>
    <w:lvl w:ilvl="1" w:tplc="E098A77A">
      <w:start w:val="1"/>
      <w:numFmt w:val="lowerLetter"/>
      <w:lvlText w:val="%2."/>
      <w:lvlJc w:val="left"/>
      <w:pPr>
        <w:ind w:left="1440" w:hanging="360"/>
      </w:pPr>
    </w:lvl>
    <w:lvl w:ilvl="2" w:tplc="9FAC36EA">
      <w:start w:val="1"/>
      <w:numFmt w:val="lowerRoman"/>
      <w:lvlText w:val="%3."/>
      <w:lvlJc w:val="right"/>
      <w:pPr>
        <w:ind w:left="2160" w:hanging="180"/>
      </w:pPr>
    </w:lvl>
    <w:lvl w:ilvl="3" w:tplc="0C7EAD5C">
      <w:start w:val="1"/>
      <w:numFmt w:val="decimal"/>
      <w:lvlText w:val="%4."/>
      <w:lvlJc w:val="left"/>
      <w:pPr>
        <w:ind w:left="2880" w:hanging="360"/>
      </w:pPr>
    </w:lvl>
    <w:lvl w:ilvl="4" w:tplc="5186E90E">
      <w:start w:val="1"/>
      <w:numFmt w:val="lowerLetter"/>
      <w:lvlText w:val="%5."/>
      <w:lvlJc w:val="left"/>
      <w:pPr>
        <w:ind w:left="3600" w:hanging="360"/>
      </w:pPr>
    </w:lvl>
    <w:lvl w:ilvl="5" w:tplc="43E4D232">
      <w:start w:val="1"/>
      <w:numFmt w:val="lowerRoman"/>
      <w:lvlText w:val="%6."/>
      <w:lvlJc w:val="right"/>
      <w:pPr>
        <w:ind w:left="4320" w:hanging="180"/>
      </w:pPr>
    </w:lvl>
    <w:lvl w:ilvl="6" w:tplc="44B0A894">
      <w:start w:val="1"/>
      <w:numFmt w:val="decimal"/>
      <w:lvlText w:val="%7."/>
      <w:lvlJc w:val="left"/>
      <w:pPr>
        <w:ind w:left="5040" w:hanging="360"/>
      </w:pPr>
    </w:lvl>
    <w:lvl w:ilvl="7" w:tplc="B7C22DEE">
      <w:start w:val="1"/>
      <w:numFmt w:val="lowerLetter"/>
      <w:lvlText w:val="%8."/>
      <w:lvlJc w:val="left"/>
      <w:pPr>
        <w:ind w:left="5760" w:hanging="360"/>
      </w:pPr>
    </w:lvl>
    <w:lvl w:ilvl="8" w:tplc="4ECE9DA0">
      <w:start w:val="1"/>
      <w:numFmt w:val="lowerRoman"/>
      <w:lvlText w:val="%9."/>
      <w:lvlJc w:val="right"/>
      <w:pPr>
        <w:ind w:left="6480" w:hanging="180"/>
      </w:pPr>
    </w:lvl>
  </w:abstractNum>
  <w:abstractNum w:abstractNumId="1">
    <w:nsid w:val="34415170"/>
    <w:multiLevelType w:val="hybridMultilevel"/>
    <w:tmpl w:val="E11C8BF0"/>
    <w:lvl w:ilvl="0" w:tplc="E1B6C7AA">
      <w:start w:val="1"/>
      <w:numFmt w:val="decimal"/>
      <w:lvlText w:val="%1."/>
      <w:lvlJc w:val="left"/>
      <w:pPr>
        <w:ind w:left="928" w:hanging="360"/>
      </w:pPr>
    </w:lvl>
    <w:lvl w:ilvl="1" w:tplc="5EC6619A">
      <w:start w:val="1"/>
      <w:numFmt w:val="lowerLetter"/>
      <w:lvlText w:val="%2."/>
      <w:lvlJc w:val="left"/>
      <w:pPr>
        <w:ind w:left="1648" w:hanging="360"/>
      </w:pPr>
    </w:lvl>
    <w:lvl w:ilvl="2" w:tplc="C7C68C92">
      <w:start w:val="1"/>
      <w:numFmt w:val="lowerRoman"/>
      <w:lvlText w:val="%3."/>
      <w:lvlJc w:val="right"/>
      <w:pPr>
        <w:ind w:left="2368" w:hanging="180"/>
      </w:pPr>
    </w:lvl>
    <w:lvl w:ilvl="3" w:tplc="5A20D81E">
      <w:start w:val="1"/>
      <w:numFmt w:val="decimal"/>
      <w:lvlText w:val="%4."/>
      <w:lvlJc w:val="left"/>
      <w:pPr>
        <w:ind w:left="3088" w:hanging="360"/>
      </w:pPr>
    </w:lvl>
    <w:lvl w:ilvl="4" w:tplc="8AE4CB00">
      <w:start w:val="1"/>
      <w:numFmt w:val="lowerLetter"/>
      <w:lvlText w:val="%5."/>
      <w:lvlJc w:val="left"/>
      <w:pPr>
        <w:ind w:left="3808" w:hanging="360"/>
      </w:pPr>
    </w:lvl>
    <w:lvl w:ilvl="5" w:tplc="5378A048">
      <w:start w:val="1"/>
      <w:numFmt w:val="lowerRoman"/>
      <w:lvlText w:val="%6."/>
      <w:lvlJc w:val="right"/>
      <w:pPr>
        <w:ind w:left="4528" w:hanging="180"/>
      </w:pPr>
    </w:lvl>
    <w:lvl w:ilvl="6" w:tplc="731C7874">
      <w:start w:val="1"/>
      <w:numFmt w:val="decimal"/>
      <w:lvlText w:val="%7."/>
      <w:lvlJc w:val="left"/>
      <w:pPr>
        <w:ind w:left="5248" w:hanging="360"/>
      </w:pPr>
    </w:lvl>
    <w:lvl w:ilvl="7" w:tplc="76260A58">
      <w:start w:val="1"/>
      <w:numFmt w:val="lowerLetter"/>
      <w:lvlText w:val="%8."/>
      <w:lvlJc w:val="left"/>
      <w:pPr>
        <w:ind w:left="5968" w:hanging="360"/>
      </w:pPr>
    </w:lvl>
    <w:lvl w:ilvl="8" w:tplc="41024EDA">
      <w:start w:val="1"/>
      <w:numFmt w:val="lowerRoman"/>
      <w:lvlText w:val="%9."/>
      <w:lvlJc w:val="right"/>
      <w:pPr>
        <w:ind w:left="6688" w:hanging="180"/>
      </w:pPr>
    </w:lvl>
  </w:abstractNum>
  <w:abstractNum w:abstractNumId="2">
    <w:nsid w:val="46D80097"/>
    <w:multiLevelType w:val="hybridMultilevel"/>
    <w:tmpl w:val="B57608C8"/>
    <w:lvl w:ilvl="0" w:tplc="4B623E68">
      <w:start w:val="1"/>
      <w:numFmt w:val="decimal"/>
      <w:lvlText w:val="%1."/>
      <w:lvlJc w:val="left"/>
      <w:pPr>
        <w:ind w:left="720" w:hanging="360"/>
      </w:pPr>
      <w:rPr>
        <w:rFonts w:hint="default"/>
      </w:rPr>
    </w:lvl>
    <w:lvl w:ilvl="1" w:tplc="76B8D7A0">
      <w:start w:val="1"/>
      <w:numFmt w:val="lowerLetter"/>
      <w:lvlText w:val="%2."/>
      <w:lvlJc w:val="left"/>
      <w:pPr>
        <w:ind w:left="1440" w:hanging="360"/>
      </w:pPr>
    </w:lvl>
    <w:lvl w:ilvl="2" w:tplc="9416B32E">
      <w:start w:val="1"/>
      <w:numFmt w:val="lowerRoman"/>
      <w:lvlText w:val="%3."/>
      <w:lvlJc w:val="right"/>
      <w:pPr>
        <w:ind w:left="2160" w:hanging="180"/>
      </w:pPr>
    </w:lvl>
    <w:lvl w:ilvl="3" w:tplc="5D68DDBA">
      <w:start w:val="1"/>
      <w:numFmt w:val="decimal"/>
      <w:lvlText w:val="%4."/>
      <w:lvlJc w:val="left"/>
      <w:pPr>
        <w:ind w:left="2880" w:hanging="360"/>
      </w:pPr>
    </w:lvl>
    <w:lvl w:ilvl="4" w:tplc="CE6EF4DE">
      <w:start w:val="1"/>
      <w:numFmt w:val="lowerLetter"/>
      <w:lvlText w:val="%5."/>
      <w:lvlJc w:val="left"/>
      <w:pPr>
        <w:ind w:left="3600" w:hanging="360"/>
      </w:pPr>
    </w:lvl>
    <w:lvl w:ilvl="5" w:tplc="B296D55C">
      <w:start w:val="1"/>
      <w:numFmt w:val="lowerRoman"/>
      <w:lvlText w:val="%6."/>
      <w:lvlJc w:val="right"/>
      <w:pPr>
        <w:ind w:left="4320" w:hanging="180"/>
      </w:pPr>
    </w:lvl>
    <w:lvl w:ilvl="6" w:tplc="E438D6C2">
      <w:start w:val="1"/>
      <w:numFmt w:val="decimal"/>
      <w:lvlText w:val="%7."/>
      <w:lvlJc w:val="left"/>
      <w:pPr>
        <w:ind w:left="5040" w:hanging="360"/>
      </w:pPr>
    </w:lvl>
    <w:lvl w:ilvl="7" w:tplc="8FC27802">
      <w:start w:val="1"/>
      <w:numFmt w:val="lowerLetter"/>
      <w:lvlText w:val="%8."/>
      <w:lvlJc w:val="left"/>
      <w:pPr>
        <w:ind w:left="5760" w:hanging="360"/>
      </w:pPr>
    </w:lvl>
    <w:lvl w:ilvl="8" w:tplc="5484A7BE">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817"/>
    <w:rsid w:val="0014206C"/>
    <w:rsid w:val="00150BCD"/>
    <w:rsid w:val="00663817"/>
    <w:rsid w:val="00F6485D"/>
    <w:rsid w:val="00FD0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8"/>
    </w:rPr>
  </w:style>
  <w:style w:type="paragraph" w:styleId="1">
    <w:name w:val="heading 1"/>
    <w:basedOn w:val="a"/>
    <w:next w:val="a"/>
    <w:link w:val="10"/>
    <w:uiPriority w:val="9"/>
    <w:qFormat/>
    <w:pPr>
      <w:keepNext/>
      <w:jc w:val="both"/>
      <w:outlineLvl w:val="0"/>
    </w:pPr>
    <w:rPr>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4"/>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uiPriority w:val="5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rFonts w:cs="Times New Roman"/>
      <w:color w:val="0000FF"/>
      <w:u w:val="single"/>
    </w:rPr>
  </w:style>
  <w:style w:type="paragraph" w:styleId="af2">
    <w:name w:val="footnote text"/>
    <w:basedOn w:val="a"/>
    <w:link w:val="af3"/>
    <w:uiPriority w:val="99"/>
    <w:unhideWhenUsed/>
    <w:pPr>
      <w:jc w:val="both"/>
    </w:pPr>
    <w:rPr>
      <w:color w:val="000000"/>
      <w:sz w:val="20"/>
      <w:szCs w:val="20"/>
      <w:lang w:eastAsia="en-US"/>
    </w:rPr>
  </w:style>
  <w:style w:type="character" w:customStyle="1" w:styleId="FootnoteTextChar">
    <w:name w:val="Footnote Text Char"/>
    <w:uiPriority w:val="99"/>
    <w:rPr>
      <w:sz w:val="18"/>
    </w:rPr>
  </w:style>
  <w:style w:type="character" w:styleId="af4">
    <w:name w:val="footnote reference"/>
    <w:uiPriority w:val="99"/>
    <w:unhideWhenUsed/>
    <w:rPr>
      <w:rFonts w:cs="Times New Roman"/>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character" w:customStyle="1" w:styleId="10">
    <w:name w:val="Заголовок 1 Знак"/>
    <w:link w:val="1"/>
    <w:uiPriority w:val="9"/>
    <w:rPr>
      <w:rFonts w:cs="Times New Roman"/>
      <w:sz w:val="28"/>
    </w:rPr>
  </w:style>
  <w:style w:type="paragraph" w:styleId="afa">
    <w:name w:val="Balloon Text"/>
    <w:basedOn w:val="a"/>
    <w:link w:val="afb"/>
    <w:uiPriority w:val="99"/>
    <w:semiHidden/>
    <w:rPr>
      <w:rFonts w:ascii="Tahoma" w:hAnsi="Tahoma" w:cs="Tahoma"/>
      <w:sz w:val="16"/>
      <w:szCs w:val="16"/>
    </w:rPr>
  </w:style>
  <w:style w:type="character" w:customStyle="1" w:styleId="afb">
    <w:name w:val="Текст выноски Знак"/>
    <w:link w:val="afa"/>
    <w:uiPriority w:val="99"/>
    <w:semiHidden/>
    <w:rPr>
      <w:rFonts w:ascii="Tahoma" w:hAnsi="Tahoma" w:cs="Tahoma"/>
      <w:sz w:val="16"/>
      <w:szCs w:val="16"/>
    </w:rPr>
  </w:style>
  <w:style w:type="paragraph" w:customStyle="1" w:styleId="ConsPlusNormal">
    <w:name w:val="ConsPlusNormal"/>
    <w:pPr>
      <w:widowControl w:val="0"/>
      <w:ind w:firstLine="720"/>
    </w:pPr>
    <w:rPr>
      <w:rFonts w:ascii="Arial" w:hAnsi="Arial" w:cs="Arial"/>
    </w:rPr>
  </w:style>
  <w:style w:type="paragraph" w:styleId="afc">
    <w:name w:val="Body Text"/>
    <w:basedOn w:val="a"/>
    <w:link w:val="afd"/>
    <w:uiPriority w:val="99"/>
    <w:pPr>
      <w:jc w:val="both"/>
    </w:pPr>
    <w:rPr>
      <w:sz w:val="24"/>
      <w:szCs w:val="24"/>
    </w:rPr>
  </w:style>
  <w:style w:type="character" w:customStyle="1" w:styleId="afd">
    <w:name w:val="Основной текст Знак"/>
    <w:link w:val="afc"/>
    <w:uiPriority w:val="99"/>
    <w:rPr>
      <w:rFonts w:cs="Times New Roman"/>
      <w:sz w:val="24"/>
    </w:rPr>
  </w:style>
  <w:style w:type="paragraph" w:customStyle="1" w:styleId="afe">
    <w:name w:val="Верхний колонтитул;Знак"/>
    <w:basedOn w:val="a"/>
    <w:link w:val="aff"/>
    <w:uiPriority w:val="99"/>
    <w:pPr>
      <w:tabs>
        <w:tab w:val="center" w:pos="4677"/>
        <w:tab w:val="right" w:pos="9355"/>
      </w:tabs>
    </w:pPr>
  </w:style>
  <w:style w:type="character" w:customStyle="1" w:styleId="aff">
    <w:name w:val="Верхний колонтитул Знак;Знак Знак"/>
    <w:link w:val="afe"/>
    <w:uiPriority w:val="99"/>
    <w:rPr>
      <w:rFonts w:cs="Times New Roman"/>
      <w:sz w:val="28"/>
    </w:rPr>
  </w:style>
  <w:style w:type="character" w:customStyle="1" w:styleId="ae">
    <w:name w:val="Нижний колонтитул Знак"/>
    <w:link w:val="ad"/>
    <w:uiPriority w:val="99"/>
    <w:rPr>
      <w:rFonts w:cs="Times New Roman"/>
      <w:sz w:val="28"/>
    </w:rPr>
  </w:style>
  <w:style w:type="paragraph" w:customStyle="1" w:styleId="aff0">
    <w:name w:val="Прижатый влево"/>
    <w:basedOn w:val="a"/>
    <w:next w:val="a"/>
    <w:uiPriority w:val="99"/>
    <w:rPr>
      <w:rFonts w:ascii="Arial" w:hAnsi="Arial" w:cs="Arial"/>
      <w:sz w:val="24"/>
      <w:szCs w:val="24"/>
    </w:rPr>
  </w:style>
  <w:style w:type="character" w:customStyle="1" w:styleId="aff1">
    <w:name w:val="Гипертекстовая ссылка"/>
    <w:uiPriority w:val="99"/>
    <w:rPr>
      <w:color w:val="106BBE"/>
    </w:rPr>
  </w:style>
  <w:style w:type="character" w:customStyle="1" w:styleId="af3">
    <w:name w:val="Текст сноски Знак"/>
    <w:link w:val="af2"/>
    <w:uiPriority w:val="99"/>
    <w:rPr>
      <w:rFonts w:eastAsia="Times New Roman" w:cs="Times New Roman"/>
      <w:color w:val="000000"/>
      <w:lang w:val="en-US" w:eastAsia="en-US"/>
    </w:rPr>
  </w:style>
  <w:style w:type="paragraph" w:customStyle="1" w:styleId="aff2">
    <w:name w:val="Заголовок статьи"/>
    <w:basedOn w:val="a"/>
    <w:next w:val="a"/>
    <w:uiPriority w:val="99"/>
    <w:pPr>
      <w:ind w:left="1612" w:hanging="892"/>
      <w:jc w:val="both"/>
    </w:pPr>
    <w:rPr>
      <w:rFonts w:ascii="Arial" w:hAnsi="Arial" w:cs="Arial"/>
      <w:sz w:val="24"/>
      <w:szCs w:val="24"/>
    </w:rPr>
  </w:style>
  <w:style w:type="character" w:styleId="aff3">
    <w:name w:val="annotation reference"/>
    <w:rPr>
      <w:sz w:val="16"/>
      <w:szCs w:val="16"/>
    </w:rPr>
  </w:style>
  <w:style w:type="paragraph" w:styleId="aff4">
    <w:name w:val="annotation text"/>
    <w:basedOn w:val="a"/>
    <w:link w:val="aff5"/>
    <w:rPr>
      <w:sz w:val="20"/>
      <w:szCs w:val="20"/>
    </w:rPr>
  </w:style>
  <w:style w:type="character" w:customStyle="1" w:styleId="aff5">
    <w:name w:val="Текст примечания Знак"/>
    <w:basedOn w:val="a0"/>
    <w:link w:val="aff4"/>
  </w:style>
  <w:style w:type="paragraph" w:styleId="aff6">
    <w:name w:val="annotation subject"/>
    <w:basedOn w:val="aff4"/>
    <w:next w:val="aff4"/>
    <w:link w:val="aff7"/>
    <w:rPr>
      <w:b/>
      <w:bCs/>
    </w:rPr>
  </w:style>
  <w:style w:type="character" w:customStyle="1" w:styleId="aff7">
    <w:name w:val="Тема примечания Знак"/>
    <w:link w:val="aff6"/>
    <w:rPr>
      <w:b/>
      <w:bCs/>
    </w:rPr>
  </w:style>
  <w:style w:type="character" w:customStyle="1" w:styleId="12">
    <w:name w:val="Выделение1"/>
    <w:uiPriority w:val="20"/>
    <w:qFormat/>
    <w:rPr>
      <w:i/>
      <w:iCs/>
    </w:rPr>
  </w:style>
  <w:style w:type="paragraph" w:customStyle="1" w:styleId="ConsPlusNonformat">
    <w:name w:val="ConsPlusNonformat"/>
    <w:uiPriority w:val="99"/>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rPr>
  </w:style>
  <w:style w:type="paragraph" w:customStyle="1" w:styleId="13">
    <w:name w:val="Обычный (веб)1"/>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sz w:val="24"/>
      <w:szCs w:val="24"/>
    </w:rPr>
  </w:style>
  <w:style w:type="paragraph" w:customStyle="1" w:styleId="ConsNormal">
    <w:name w:val="ConsNormal"/>
    <w:uiPriority w:val="99"/>
    <w:pPr>
      <w:widowControl w:val="0"/>
      <w:pBdr>
        <w:top w:val="none" w:sz="4" w:space="0" w:color="000000"/>
        <w:left w:val="none" w:sz="4" w:space="0" w:color="000000"/>
        <w:bottom w:val="none" w:sz="4" w:space="0" w:color="000000"/>
        <w:right w:val="none" w:sz="4" w:space="0" w:color="000000"/>
        <w:between w:val="none" w:sz="4" w:space="0" w:color="000000"/>
      </w:pBdr>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8"/>
    </w:rPr>
  </w:style>
  <w:style w:type="paragraph" w:styleId="1">
    <w:name w:val="heading 1"/>
    <w:basedOn w:val="a"/>
    <w:next w:val="a"/>
    <w:link w:val="10"/>
    <w:uiPriority w:val="9"/>
    <w:qFormat/>
    <w:pPr>
      <w:keepNext/>
      <w:jc w:val="both"/>
      <w:outlineLvl w:val="0"/>
    </w:pPr>
    <w:rPr>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4"/>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uiPriority w:val="5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rFonts w:cs="Times New Roman"/>
      <w:color w:val="0000FF"/>
      <w:u w:val="single"/>
    </w:rPr>
  </w:style>
  <w:style w:type="paragraph" w:styleId="af2">
    <w:name w:val="footnote text"/>
    <w:basedOn w:val="a"/>
    <w:link w:val="af3"/>
    <w:uiPriority w:val="99"/>
    <w:unhideWhenUsed/>
    <w:pPr>
      <w:jc w:val="both"/>
    </w:pPr>
    <w:rPr>
      <w:color w:val="000000"/>
      <w:sz w:val="20"/>
      <w:szCs w:val="20"/>
      <w:lang w:eastAsia="en-US"/>
    </w:rPr>
  </w:style>
  <w:style w:type="character" w:customStyle="1" w:styleId="FootnoteTextChar">
    <w:name w:val="Footnote Text Char"/>
    <w:uiPriority w:val="99"/>
    <w:rPr>
      <w:sz w:val="18"/>
    </w:rPr>
  </w:style>
  <w:style w:type="character" w:styleId="af4">
    <w:name w:val="footnote reference"/>
    <w:uiPriority w:val="99"/>
    <w:unhideWhenUsed/>
    <w:rPr>
      <w:rFonts w:cs="Times New Roman"/>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character" w:customStyle="1" w:styleId="10">
    <w:name w:val="Заголовок 1 Знак"/>
    <w:link w:val="1"/>
    <w:uiPriority w:val="9"/>
    <w:rPr>
      <w:rFonts w:cs="Times New Roman"/>
      <w:sz w:val="28"/>
    </w:rPr>
  </w:style>
  <w:style w:type="paragraph" w:styleId="afa">
    <w:name w:val="Balloon Text"/>
    <w:basedOn w:val="a"/>
    <w:link w:val="afb"/>
    <w:uiPriority w:val="99"/>
    <w:semiHidden/>
    <w:rPr>
      <w:rFonts w:ascii="Tahoma" w:hAnsi="Tahoma" w:cs="Tahoma"/>
      <w:sz w:val="16"/>
      <w:szCs w:val="16"/>
    </w:rPr>
  </w:style>
  <w:style w:type="character" w:customStyle="1" w:styleId="afb">
    <w:name w:val="Текст выноски Знак"/>
    <w:link w:val="afa"/>
    <w:uiPriority w:val="99"/>
    <w:semiHidden/>
    <w:rPr>
      <w:rFonts w:ascii="Tahoma" w:hAnsi="Tahoma" w:cs="Tahoma"/>
      <w:sz w:val="16"/>
      <w:szCs w:val="16"/>
    </w:rPr>
  </w:style>
  <w:style w:type="paragraph" w:customStyle="1" w:styleId="ConsPlusNormal">
    <w:name w:val="ConsPlusNormal"/>
    <w:pPr>
      <w:widowControl w:val="0"/>
      <w:ind w:firstLine="720"/>
    </w:pPr>
    <w:rPr>
      <w:rFonts w:ascii="Arial" w:hAnsi="Arial" w:cs="Arial"/>
    </w:rPr>
  </w:style>
  <w:style w:type="paragraph" w:styleId="afc">
    <w:name w:val="Body Text"/>
    <w:basedOn w:val="a"/>
    <w:link w:val="afd"/>
    <w:uiPriority w:val="99"/>
    <w:pPr>
      <w:jc w:val="both"/>
    </w:pPr>
    <w:rPr>
      <w:sz w:val="24"/>
      <w:szCs w:val="24"/>
    </w:rPr>
  </w:style>
  <w:style w:type="character" w:customStyle="1" w:styleId="afd">
    <w:name w:val="Основной текст Знак"/>
    <w:link w:val="afc"/>
    <w:uiPriority w:val="99"/>
    <w:rPr>
      <w:rFonts w:cs="Times New Roman"/>
      <w:sz w:val="24"/>
    </w:rPr>
  </w:style>
  <w:style w:type="paragraph" w:customStyle="1" w:styleId="afe">
    <w:name w:val="Верхний колонтитул;Знак"/>
    <w:basedOn w:val="a"/>
    <w:link w:val="aff"/>
    <w:uiPriority w:val="99"/>
    <w:pPr>
      <w:tabs>
        <w:tab w:val="center" w:pos="4677"/>
        <w:tab w:val="right" w:pos="9355"/>
      </w:tabs>
    </w:pPr>
  </w:style>
  <w:style w:type="character" w:customStyle="1" w:styleId="aff">
    <w:name w:val="Верхний колонтитул Знак;Знак Знак"/>
    <w:link w:val="afe"/>
    <w:uiPriority w:val="99"/>
    <w:rPr>
      <w:rFonts w:cs="Times New Roman"/>
      <w:sz w:val="28"/>
    </w:rPr>
  </w:style>
  <w:style w:type="character" w:customStyle="1" w:styleId="ae">
    <w:name w:val="Нижний колонтитул Знак"/>
    <w:link w:val="ad"/>
    <w:uiPriority w:val="99"/>
    <w:rPr>
      <w:rFonts w:cs="Times New Roman"/>
      <w:sz w:val="28"/>
    </w:rPr>
  </w:style>
  <w:style w:type="paragraph" w:customStyle="1" w:styleId="aff0">
    <w:name w:val="Прижатый влево"/>
    <w:basedOn w:val="a"/>
    <w:next w:val="a"/>
    <w:uiPriority w:val="99"/>
    <w:rPr>
      <w:rFonts w:ascii="Arial" w:hAnsi="Arial" w:cs="Arial"/>
      <w:sz w:val="24"/>
      <w:szCs w:val="24"/>
    </w:rPr>
  </w:style>
  <w:style w:type="character" w:customStyle="1" w:styleId="aff1">
    <w:name w:val="Гипертекстовая ссылка"/>
    <w:uiPriority w:val="99"/>
    <w:rPr>
      <w:color w:val="106BBE"/>
    </w:rPr>
  </w:style>
  <w:style w:type="character" w:customStyle="1" w:styleId="af3">
    <w:name w:val="Текст сноски Знак"/>
    <w:link w:val="af2"/>
    <w:uiPriority w:val="99"/>
    <w:rPr>
      <w:rFonts w:eastAsia="Times New Roman" w:cs="Times New Roman"/>
      <w:color w:val="000000"/>
      <w:lang w:val="en-US" w:eastAsia="en-US"/>
    </w:rPr>
  </w:style>
  <w:style w:type="paragraph" w:customStyle="1" w:styleId="aff2">
    <w:name w:val="Заголовок статьи"/>
    <w:basedOn w:val="a"/>
    <w:next w:val="a"/>
    <w:uiPriority w:val="99"/>
    <w:pPr>
      <w:ind w:left="1612" w:hanging="892"/>
      <w:jc w:val="both"/>
    </w:pPr>
    <w:rPr>
      <w:rFonts w:ascii="Arial" w:hAnsi="Arial" w:cs="Arial"/>
      <w:sz w:val="24"/>
      <w:szCs w:val="24"/>
    </w:rPr>
  </w:style>
  <w:style w:type="character" w:styleId="aff3">
    <w:name w:val="annotation reference"/>
    <w:rPr>
      <w:sz w:val="16"/>
      <w:szCs w:val="16"/>
    </w:rPr>
  </w:style>
  <w:style w:type="paragraph" w:styleId="aff4">
    <w:name w:val="annotation text"/>
    <w:basedOn w:val="a"/>
    <w:link w:val="aff5"/>
    <w:rPr>
      <w:sz w:val="20"/>
      <w:szCs w:val="20"/>
    </w:rPr>
  </w:style>
  <w:style w:type="character" w:customStyle="1" w:styleId="aff5">
    <w:name w:val="Текст примечания Знак"/>
    <w:basedOn w:val="a0"/>
    <w:link w:val="aff4"/>
  </w:style>
  <w:style w:type="paragraph" w:styleId="aff6">
    <w:name w:val="annotation subject"/>
    <w:basedOn w:val="aff4"/>
    <w:next w:val="aff4"/>
    <w:link w:val="aff7"/>
    <w:rPr>
      <w:b/>
      <w:bCs/>
    </w:rPr>
  </w:style>
  <w:style w:type="character" w:customStyle="1" w:styleId="aff7">
    <w:name w:val="Тема примечания Знак"/>
    <w:link w:val="aff6"/>
    <w:rPr>
      <w:b/>
      <w:bCs/>
    </w:rPr>
  </w:style>
  <w:style w:type="character" w:customStyle="1" w:styleId="12">
    <w:name w:val="Выделение1"/>
    <w:uiPriority w:val="20"/>
    <w:qFormat/>
    <w:rPr>
      <w:i/>
      <w:iCs/>
    </w:rPr>
  </w:style>
  <w:style w:type="paragraph" w:customStyle="1" w:styleId="ConsPlusNonformat">
    <w:name w:val="ConsPlusNonformat"/>
    <w:uiPriority w:val="99"/>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rPr>
  </w:style>
  <w:style w:type="paragraph" w:customStyle="1" w:styleId="13">
    <w:name w:val="Обычный (веб)1"/>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sz w:val="24"/>
      <w:szCs w:val="24"/>
    </w:rPr>
  </w:style>
  <w:style w:type="paragraph" w:customStyle="1" w:styleId="ConsNormal">
    <w:name w:val="ConsNormal"/>
    <w:uiPriority w:val="99"/>
    <w:pPr>
      <w:widowControl w:val="0"/>
      <w:pBdr>
        <w:top w:val="none" w:sz="4" w:space="0" w:color="000000"/>
        <w:left w:val="none" w:sz="4" w:space="0" w:color="000000"/>
        <w:bottom w:val="none" w:sz="4" w:space="0" w:color="000000"/>
        <w:right w:val="none" w:sz="4" w:space="0" w:color="000000"/>
        <w:between w:val="none" w:sz="4" w:space="0" w:color="000000"/>
      </w:pBdr>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404</Words>
  <Characters>2305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ДЕПАРТАМЕНТ КУЛЬТУРЫ НОВОСИБИРСКОЙ ОБЛАСТИ</vt:lpstr>
    </vt:vector>
  </TitlesOfParts>
  <Company>DK_NSO</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КУЛЬТУРЫ НОВОСИБИРСКОЙ ОБЛАСТИ</dc:title>
  <dc:creator>Admin</dc:creator>
  <cp:lastModifiedBy>511</cp:lastModifiedBy>
  <cp:revision>6</cp:revision>
  <dcterms:created xsi:type="dcterms:W3CDTF">2023-10-10T00:42:00Z</dcterms:created>
  <dcterms:modified xsi:type="dcterms:W3CDTF">2024-06-25T06:46:00Z</dcterms:modified>
  <cp:version>1048576</cp:version>
</cp:coreProperties>
</file>